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4"/>
        <w:ind w:left="14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Rezultati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ispita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b/>
          <w:sz w:val="22"/>
        </w:rPr>
        <w:t>iz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Psihologije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1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održanog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03.02.2026.</w:t>
      </w:r>
    </w:p>
    <w:p>
      <w:pPr>
        <w:pStyle w:val="BodyText"/>
        <w:spacing w:before="3"/>
        <w:rPr>
          <w:rFonts w:ascii="Calibri"/>
          <w:sz w:val="15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1"/>
        <w:gridCol w:w="439"/>
        <w:gridCol w:w="439"/>
        <w:gridCol w:w="405"/>
      </w:tblGrid>
      <w:tr>
        <w:trPr>
          <w:trHeight w:val="1350" w:hRule="atLeast"/>
        </w:trPr>
        <w:tc>
          <w:tcPr>
            <w:tcW w:w="2921" w:type="dxa"/>
          </w:tcPr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71"/>
              <w:rPr>
                <w:rFonts w:ascii="Calibri"/>
                <w:sz w:val="20"/>
              </w:rPr>
            </w:pPr>
          </w:p>
          <w:p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  <w:textDirection w:val="btLr"/>
          </w:tcPr>
          <w:p>
            <w:pPr>
              <w:pStyle w:val="TableParagraph"/>
              <w:spacing w:before="109"/>
              <w:ind w:left="422"/>
              <w:rPr>
                <w:sz w:val="16"/>
              </w:rPr>
            </w:pPr>
            <w:r>
              <w:rPr>
                <w:spacing w:val="-2"/>
                <w:sz w:val="16"/>
              </w:rPr>
              <w:t>Ocjena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Topič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Vasilije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07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Vlajinić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Tara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07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Stanišić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Milica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Ćorac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Anastsija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Rakić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Lav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Renovica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Kristina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07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Bojić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Jana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07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Đurić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Marko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Ćosić</w:t>
            </w:r>
            <w:r>
              <w:rPr>
                <w:spacing w:val="-4"/>
                <w:sz w:val="20"/>
              </w:rPr>
              <w:t> Amar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Grubač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Stefan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Ašimović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Amila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Zlobin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Teodosije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Bajraktarević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Husejn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07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Vujović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Nemanja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Popović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Dorotea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Jeftić</w:t>
            </w:r>
            <w:r>
              <w:rPr>
                <w:spacing w:val="-2"/>
                <w:sz w:val="20"/>
              </w:rPr>
              <w:t> Stefan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Filipović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Kovačević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Anastasija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07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Malidžan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07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Đerković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6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Paunović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Anastasija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Huseinspahić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Asja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Zobenica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6"/>
              <w:ind w:left="110"/>
              <w:rPr>
                <w:sz w:val="20"/>
              </w:rPr>
            </w:pPr>
            <w:r>
              <w:rPr>
                <w:sz w:val="20"/>
              </w:rPr>
              <w:t>Sokač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921" w:type="dxa"/>
          </w:tcPr>
          <w:p>
            <w:pPr>
              <w:pStyle w:val="TableParagraph"/>
              <w:spacing w:line="210" w:lineRule="exact" w:before="24"/>
              <w:ind w:left="110"/>
              <w:rPr>
                <w:sz w:val="20"/>
              </w:rPr>
            </w:pPr>
            <w:r>
              <w:rPr>
                <w:sz w:val="20"/>
              </w:rPr>
              <w:t>Vasiljević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Natalija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spacing w:line="210" w:lineRule="exact" w:before="24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891539</wp:posOffset>
                </wp:positionH>
                <wp:positionV relativeFrom="paragraph">
                  <wp:posOffset>306780</wp:posOffset>
                </wp:positionV>
                <wp:extent cx="2875915" cy="13157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75915" cy="1315720"/>
                          <a:chExt cx="2875915" cy="13157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75915" cy="1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1315720">
                                <a:moveTo>
                                  <a:pt x="2875788" y="1315212"/>
                                </a:moveTo>
                                <a:lnTo>
                                  <a:pt x="0" y="1315212"/>
                                </a:lnTo>
                                <a:lnTo>
                                  <a:pt x="0" y="0"/>
                                </a:lnTo>
                                <a:lnTo>
                                  <a:pt x="2875788" y="0"/>
                                </a:lnTo>
                                <a:lnTo>
                                  <a:pt x="2875788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306067"/>
                                </a:lnTo>
                                <a:lnTo>
                                  <a:pt x="4572" y="1306067"/>
                                </a:lnTo>
                                <a:lnTo>
                                  <a:pt x="9144" y="1310640"/>
                                </a:lnTo>
                                <a:lnTo>
                                  <a:pt x="2875788" y="1310640"/>
                                </a:lnTo>
                                <a:lnTo>
                                  <a:pt x="2875788" y="1315212"/>
                                </a:lnTo>
                                <a:close/>
                              </a:path>
                              <a:path w="2875915" h="1315720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2875915" h="1315720">
                                <a:moveTo>
                                  <a:pt x="2866643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2866643" y="4572"/>
                                </a:lnTo>
                                <a:lnTo>
                                  <a:pt x="2866643" y="9144"/>
                                </a:lnTo>
                                <a:close/>
                              </a:path>
                              <a:path w="2875915" h="1315720">
                                <a:moveTo>
                                  <a:pt x="2866643" y="1310640"/>
                                </a:moveTo>
                                <a:lnTo>
                                  <a:pt x="2866643" y="4572"/>
                                </a:lnTo>
                                <a:lnTo>
                                  <a:pt x="2871216" y="9144"/>
                                </a:lnTo>
                                <a:lnTo>
                                  <a:pt x="2875788" y="9144"/>
                                </a:lnTo>
                                <a:lnTo>
                                  <a:pt x="2875788" y="1306067"/>
                                </a:lnTo>
                                <a:lnTo>
                                  <a:pt x="2871216" y="1306067"/>
                                </a:lnTo>
                                <a:lnTo>
                                  <a:pt x="2866643" y="1310640"/>
                                </a:lnTo>
                                <a:close/>
                              </a:path>
                              <a:path w="2875915" h="1315720">
                                <a:moveTo>
                                  <a:pt x="2875788" y="9144"/>
                                </a:moveTo>
                                <a:lnTo>
                                  <a:pt x="2871216" y="9144"/>
                                </a:lnTo>
                                <a:lnTo>
                                  <a:pt x="2866643" y="4572"/>
                                </a:lnTo>
                                <a:lnTo>
                                  <a:pt x="2875788" y="4572"/>
                                </a:lnTo>
                                <a:lnTo>
                                  <a:pt x="2875788" y="9144"/>
                                </a:lnTo>
                                <a:close/>
                              </a:path>
                              <a:path w="2875915" h="1315720">
                                <a:moveTo>
                                  <a:pt x="9144" y="1310640"/>
                                </a:moveTo>
                                <a:lnTo>
                                  <a:pt x="4572" y="1306067"/>
                                </a:lnTo>
                                <a:lnTo>
                                  <a:pt x="9144" y="1306067"/>
                                </a:lnTo>
                                <a:lnTo>
                                  <a:pt x="9144" y="1310640"/>
                                </a:lnTo>
                                <a:close/>
                              </a:path>
                              <a:path w="2875915" h="1315720">
                                <a:moveTo>
                                  <a:pt x="2866643" y="1310640"/>
                                </a:moveTo>
                                <a:lnTo>
                                  <a:pt x="9144" y="1310640"/>
                                </a:lnTo>
                                <a:lnTo>
                                  <a:pt x="9144" y="1306067"/>
                                </a:lnTo>
                                <a:lnTo>
                                  <a:pt x="2866643" y="1306067"/>
                                </a:lnTo>
                                <a:lnTo>
                                  <a:pt x="2866643" y="1310640"/>
                                </a:lnTo>
                                <a:close/>
                              </a:path>
                              <a:path w="2875915" h="1315720">
                                <a:moveTo>
                                  <a:pt x="2875788" y="1310640"/>
                                </a:moveTo>
                                <a:lnTo>
                                  <a:pt x="2866643" y="1310640"/>
                                </a:lnTo>
                                <a:lnTo>
                                  <a:pt x="2871216" y="1306067"/>
                                </a:lnTo>
                                <a:lnTo>
                                  <a:pt x="2875788" y="1306067"/>
                                </a:lnTo>
                                <a:lnTo>
                                  <a:pt x="2875788" y="1310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75915" cy="1315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83"/>
                                <w:ind w:left="156" w:right="185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Upis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ocjena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će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biti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utorak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10.II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2026.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11:00 u prostorijama Muzičke akademije.</w:t>
                              </w:r>
                            </w:p>
                            <w:p>
                              <w:pPr>
                                <w:spacing w:before="162"/>
                                <w:ind w:left="156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Napomena: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56" w:right="185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Studenti koji nisu položili preko kolokvijuma polažu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intergralno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sljedećem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ispitnom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roku.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99997pt;margin-top:24.155943pt;width:226.45pt;height:103.6pt;mso-position-horizontal-relative:page;mso-position-vertical-relative:paragraph;z-index:-15728640;mso-wrap-distance-left:0;mso-wrap-distance-right:0" id="docshapegroup1" coordorigin="1404,483" coordsize="4529,2072">
                <v:shape style="position:absolute;left:1404;top:483;width:4529;height:2072" id="docshape2" coordorigin="1404,483" coordsize="4529,2072" path="m5933,2554l1404,2554,1404,483,5933,483,5933,490,1418,490,1411,498,1418,498,1418,2540,1411,2540,1418,2547,5933,2547,5933,2554xm1418,498l1411,498,1418,490,1418,498xm5918,498l1418,498,1418,490,5918,490,5918,498xm5918,2547l5918,490,5926,498,5933,498,5933,2540,5926,2540,5918,2547xm5933,498l5926,498,5918,490,5933,490,5933,498xm1418,2547l1411,2540,1418,2540,1418,2547xm5918,2547l1418,2547,1418,2540,5918,2540,5918,2547xm5933,2547l5918,2547,5926,2540,5933,2540,5933,254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04;top:483;width:4529;height:2072" type="#_x0000_t202" id="docshape3" filled="false" stroked="false">
                  <v:textbox inset="0,0,0,0">
                    <w:txbxContent>
                      <w:p>
                        <w:pPr>
                          <w:spacing w:line="259" w:lineRule="auto" w:before="83"/>
                          <w:ind w:left="156" w:right="185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Upis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ocjena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će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biti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utorak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10.II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2026.</w:t>
                        </w:r>
                        <w:r>
                          <w:rPr>
                            <w:rFonts w:ascii="Calibri" w:hAnsi="Calibri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11:00 u prostorijama Muzičke akademije.</w:t>
                        </w:r>
                      </w:p>
                      <w:p>
                        <w:pPr>
                          <w:spacing w:before="162"/>
                          <w:ind w:left="156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Napomena:</w:t>
                        </w:r>
                      </w:p>
                      <w:p>
                        <w:pPr>
                          <w:spacing w:line="259" w:lineRule="auto" w:before="180"/>
                          <w:ind w:left="156" w:right="185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Studenti koji nisu položili preko kolokvijuma polažu</w:t>
                        </w:r>
                        <w:r>
                          <w:rPr>
                            <w:rFonts w:ascii="Calibri" w:hAnsi="Calibri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intergralno</w:t>
                        </w:r>
                        <w:r>
                          <w:rPr>
                            <w:rFonts w:ascii="Calibri" w:hAnsi="Calibri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sljedećem</w:t>
                        </w:r>
                        <w:r>
                          <w:rPr>
                            <w:rFonts w:ascii="Calibri" w:hAnsi="Calibri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ispitnom</w:t>
                        </w:r>
                        <w:r>
                          <w:rPr>
                            <w:rFonts w:ascii="Calibri" w:hAnsi="Calibri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roku.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</w:rPr>
      </w:pPr>
    </w:p>
    <w:p>
      <w:pPr>
        <w:pStyle w:val="BodyText"/>
        <w:ind w:left="141"/>
      </w:pPr>
      <w:r>
        <w:rPr>
          <w:w w:val="140"/>
        </w:rPr>
        <w:t>/</w:t>
      </w:r>
      <w:r>
        <w:rPr>
          <w:spacing w:val="-20"/>
          <w:w w:val="140"/>
        </w:rPr>
        <w:t> </w:t>
      </w:r>
      <w:r>
        <w:rPr/>
        <w:t>h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</w:t>
      </w:r>
      <w:r>
        <w:rPr>
          <w:spacing w:val="-1"/>
        </w:rPr>
        <w:t> </w:t>
      </w:r>
      <w:r>
        <w:rPr/>
        <w:t></w:t>
      </w:r>
      <w:r>
        <w:rPr>
          <w:spacing w:val="-22"/>
          <w:w w:val="140"/>
        </w:rPr>
        <w:t> </w:t>
      </w:r>
      <w:r>
        <w:rPr>
          <w:w w:val="140"/>
        </w:rPr>
        <w:t>c/š/</w:t>
      </w:r>
      <w:r>
        <w:rPr>
          <w:spacing w:val="-43"/>
          <w:w w:val="140"/>
        </w:rPr>
        <w:t> </w:t>
      </w:r>
      <w:r>
        <w:rPr/>
        <w:t>K</w:t>
      </w:r>
      <w:r>
        <w:rPr>
          <w:spacing w:val="-17"/>
        </w:rPr>
        <w:t> </w:t>
      </w:r>
      <w:r>
        <w:rPr>
          <w:spacing w:val="-10"/>
          <w:w w:val="140"/>
        </w:rPr>
        <w:t>■</w:t>
      </w:r>
    </w:p>
    <w:sectPr>
      <w:type w:val="continuous"/>
      <w:pgSz w:w="11910" w:h="16840"/>
      <w:pgMar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`uajb Solakovi</dc:creator>
  <dc:title>Microsoft Word - Rezultati ispita iz Psihologije 1 MA 20260203</dc:title>
  <dcterms:created xsi:type="dcterms:W3CDTF">2026-02-06T19:53:29Z</dcterms:created>
  <dcterms:modified xsi:type="dcterms:W3CDTF">2026-02-06T19:53:29Z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</Properties>
</file>